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4E" w:rsidRPr="00F74B98" w:rsidRDefault="000A392A" w:rsidP="00B13B15">
      <w:pPr>
        <w:jc w:val="center"/>
        <w:rPr>
          <w:rFonts w:ascii="Times New Roman" w:hAnsi="Times New Roman" w:cs="Times New Roman"/>
          <w:b/>
        </w:rPr>
      </w:pPr>
      <w:r w:rsidRPr="00F74B98">
        <w:rPr>
          <w:rFonts w:ascii="Times New Roman" w:hAnsi="Times New Roman" w:cs="Times New Roman"/>
          <w:b/>
        </w:rPr>
        <w:t xml:space="preserve">CLASSIFIED </w:t>
      </w:r>
      <w:r w:rsidR="00107505" w:rsidRPr="00F74B98">
        <w:rPr>
          <w:rFonts w:ascii="Times New Roman" w:hAnsi="Times New Roman" w:cs="Times New Roman"/>
          <w:b/>
        </w:rPr>
        <w:t>STAFF</w:t>
      </w:r>
      <w:r w:rsidR="00FC3FCC" w:rsidRPr="00F74B98">
        <w:rPr>
          <w:rFonts w:ascii="Times New Roman" w:hAnsi="Times New Roman" w:cs="Times New Roman"/>
          <w:b/>
        </w:rPr>
        <w:t xml:space="preserve"> NEEDS ASSESSMENT APPLICATION</w:t>
      </w:r>
      <w:r w:rsidR="00B13B15" w:rsidRPr="00F74B98">
        <w:rPr>
          <w:rFonts w:ascii="Times New Roman" w:hAnsi="Times New Roman" w:cs="Times New Roman"/>
          <w:b/>
        </w:rPr>
        <w:br/>
      </w:r>
    </w:p>
    <w:tbl>
      <w:tblPr>
        <w:tblStyle w:val="TableGrid"/>
        <w:tblW w:w="0" w:type="auto"/>
        <w:tblLook w:val="04A0"/>
      </w:tblPr>
      <w:tblGrid>
        <w:gridCol w:w="3978"/>
        <w:gridCol w:w="1399"/>
        <w:gridCol w:w="1400"/>
        <w:gridCol w:w="1399"/>
        <w:gridCol w:w="1400"/>
      </w:tblGrid>
      <w:tr w:rsidR="00234D48" w:rsidRPr="00F74B98">
        <w:tc>
          <w:tcPr>
            <w:tcW w:w="3978" w:type="dxa"/>
          </w:tcPr>
          <w:p w:rsidR="00234D48" w:rsidRPr="00F74B98" w:rsidRDefault="00234D48" w:rsidP="00234D48">
            <w:pPr>
              <w:jc w:val="right"/>
              <w:rPr>
                <w:rFonts w:ascii="Times New Roman" w:hAnsi="Times New Roman" w:cs="Times New Roman"/>
              </w:rPr>
            </w:pPr>
            <w:r w:rsidRPr="00F74B98">
              <w:rPr>
                <w:rFonts w:ascii="Times New Roman" w:hAnsi="Times New Roman" w:cs="Times New Roman"/>
              </w:rPr>
              <w:t>Name of Person Submitting Request:</w:t>
            </w:r>
          </w:p>
        </w:tc>
        <w:tc>
          <w:tcPr>
            <w:tcW w:w="5598" w:type="dxa"/>
            <w:gridSpan w:val="4"/>
          </w:tcPr>
          <w:p w:rsidR="00234D48" w:rsidRPr="00F74B98" w:rsidRDefault="00A129EE" w:rsidP="00FC3FCC">
            <w:pPr>
              <w:rPr>
                <w:rFonts w:ascii="Times New Roman" w:hAnsi="Times New Roman" w:cs="Times New Roman"/>
                <w:b/>
              </w:rPr>
            </w:pPr>
            <w:r>
              <w:rPr>
                <w:rFonts w:ascii="Times New Roman" w:hAnsi="Times New Roman" w:cs="Times New Roman"/>
                <w:b/>
              </w:rPr>
              <w:t xml:space="preserve">John </w:t>
            </w:r>
            <w:proofErr w:type="spellStart"/>
            <w:r>
              <w:rPr>
                <w:rFonts w:ascii="Times New Roman" w:hAnsi="Times New Roman" w:cs="Times New Roman"/>
                <w:b/>
              </w:rPr>
              <w:t>Stanskas</w:t>
            </w:r>
            <w:proofErr w:type="spellEnd"/>
          </w:p>
        </w:tc>
      </w:tr>
      <w:tr w:rsidR="00234D48" w:rsidRPr="00F74B98">
        <w:tc>
          <w:tcPr>
            <w:tcW w:w="3978" w:type="dxa"/>
          </w:tcPr>
          <w:p w:rsidR="00234D48" w:rsidRPr="00F74B98" w:rsidRDefault="00234D48" w:rsidP="00234D48">
            <w:pPr>
              <w:jc w:val="right"/>
              <w:rPr>
                <w:rFonts w:ascii="Times New Roman" w:hAnsi="Times New Roman" w:cs="Times New Roman"/>
              </w:rPr>
            </w:pPr>
            <w:r w:rsidRPr="00F74B98">
              <w:rPr>
                <w:rFonts w:ascii="Times New Roman" w:hAnsi="Times New Roman" w:cs="Times New Roman"/>
              </w:rPr>
              <w:t xml:space="preserve">Program or Service Area: </w:t>
            </w:r>
          </w:p>
        </w:tc>
        <w:tc>
          <w:tcPr>
            <w:tcW w:w="5598" w:type="dxa"/>
            <w:gridSpan w:val="4"/>
          </w:tcPr>
          <w:p w:rsidR="00234D48" w:rsidRPr="00F74B98" w:rsidRDefault="00A129EE" w:rsidP="00FC3FCC">
            <w:pPr>
              <w:rPr>
                <w:rFonts w:ascii="Times New Roman" w:hAnsi="Times New Roman" w:cs="Times New Roman"/>
                <w:b/>
              </w:rPr>
            </w:pPr>
            <w:r>
              <w:rPr>
                <w:rFonts w:ascii="Times New Roman" w:hAnsi="Times New Roman" w:cs="Times New Roman"/>
                <w:b/>
              </w:rPr>
              <w:t>Chemistry</w:t>
            </w:r>
          </w:p>
        </w:tc>
      </w:tr>
      <w:tr w:rsidR="00234D48" w:rsidRPr="00F74B98">
        <w:tc>
          <w:tcPr>
            <w:tcW w:w="3978" w:type="dxa"/>
          </w:tcPr>
          <w:p w:rsidR="00234D48" w:rsidRPr="00F74B98" w:rsidRDefault="00234D48" w:rsidP="00234D48">
            <w:pPr>
              <w:jc w:val="right"/>
              <w:rPr>
                <w:rFonts w:ascii="Times New Roman" w:hAnsi="Times New Roman" w:cs="Times New Roman"/>
              </w:rPr>
            </w:pPr>
            <w:r w:rsidRPr="00F74B98">
              <w:rPr>
                <w:rFonts w:ascii="Times New Roman" w:hAnsi="Times New Roman" w:cs="Times New Roman"/>
              </w:rPr>
              <w:t>Division:</w:t>
            </w:r>
          </w:p>
        </w:tc>
        <w:tc>
          <w:tcPr>
            <w:tcW w:w="5598" w:type="dxa"/>
            <w:gridSpan w:val="4"/>
          </w:tcPr>
          <w:p w:rsidR="00234D48" w:rsidRPr="00F74B98" w:rsidRDefault="00A129EE" w:rsidP="00FC3FCC">
            <w:pPr>
              <w:rPr>
                <w:rFonts w:ascii="Times New Roman" w:hAnsi="Times New Roman" w:cs="Times New Roman"/>
                <w:b/>
              </w:rPr>
            </w:pPr>
            <w:r>
              <w:rPr>
                <w:rFonts w:ascii="Times New Roman" w:hAnsi="Times New Roman" w:cs="Times New Roman"/>
                <w:b/>
              </w:rPr>
              <w:t>Science</w:t>
            </w:r>
          </w:p>
        </w:tc>
      </w:tr>
      <w:tr w:rsidR="00234D48" w:rsidRPr="00F74B98">
        <w:tc>
          <w:tcPr>
            <w:tcW w:w="3978" w:type="dxa"/>
          </w:tcPr>
          <w:p w:rsidR="00234D48" w:rsidRPr="00F74B98" w:rsidRDefault="00234D48" w:rsidP="00234D48">
            <w:pPr>
              <w:jc w:val="right"/>
              <w:rPr>
                <w:rFonts w:ascii="Times New Roman" w:hAnsi="Times New Roman" w:cs="Times New Roman"/>
              </w:rPr>
            </w:pPr>
            <w:r w:rsidRPr="00F74B98">
              <w:rPr>
                <w:rFonts w:ascii="Times New Roman" w:eastAsia="Calibri" w:hAnsi="Times New Roman" w:cs="Times New Roman"/>
              </w:rPr>
              <w:t>When was the last Program Efficacy document completed?</w:t>
            </w:r>
          </w:p>
        </w:tc>
        <w:tc>
          <w:tcPr>
            <w:tcW w:w="5598" w:type="dxa"/>
            <w:gridSpan w:val="4"/>
          </w:tcPr>
          <w:p w:rsidR="00234D48" w:rsidRPr="00F74B98" w:rsidRDefault="00A129EE" w:rsidP="00FC3FCC">
            <w:pPr>
              <w:rPr>
                <w:rFonts w:ascii="Times New Roman" w:hAnsi="Times New Roman" w:cs="Times New Roman"/>
                <w:b/>
              </w:rPr>
            </w:pPr>
            <w:r>
              <w:rPr>
                <w:rFonts w:ascii="Times New Roman" w:hAnsi="Times New Roman" w:cs="Times New Roman"/>
                <w:b/>
              </w:rPr>
              <w:t>Spring 2008</w:t>
            </w:r>
          </w:p>
        </w:tc>
      </w:tr>
      <w:tr w:rsidR="00234D48" w:rsidRPr="00F74B98">
        <w:tc>
          <w:tcPr>
            <w:tcW w:w="3978" w:type="dxa"/>
          </w:tcPr>
          <w:p w:rsidR="00234D48" w:rsidRPr="00F74B98" w:rsidRDefault="00234D48" w:rsidP="00234D48">
            <w:pPr>
              <w:jc w:val="right"/>
              <w:rPr>
                <w:rFonts w:ascii="Times New Roman" w:eastAsia="Calibri" w:hAnsi="Times New Roman" w:cs="Times New Roman"/>
              </w:rPr>
            </w:pPr>
            <w:r w:rsidRPr="00F74B98">
              <w:rPr>
                <w:rFonts w:ascii="Times New Roman" w:eastAsia="Calibri" w:hAnsi="Times New Roman" w:cs="Times New Roman"/>
              </w:rPr>
              <w:t>What rating was given?</w:t>
            </w:r>
          </w:p>
        </w:tc>
        <w:tc>
          <w:tcPr>
            <w:tcW w:w="5598" w:type="dxa"/>
            <w:gridSpan w:val="4"/>
          </w:tcPr>
          <w:p w:rsidR="00234D48" w:rsidRPr="00F74B98" w:rsidRDefault="00A129EE" w:rsidP="00FC3FCC">
            <w:pPr>
              <w:rPr>
                <w:rFonts w:ascii="Times New Roman" w:hAnsi="Times New Roman" w:cs="Times New Roman"/>
                <w:b/>
              </w:rPr>
            </w:pPr>
            <w:r>
              <w:rPr>
                <w:rFonts w:ascii="Times New Roman" w:hAnsi="Times New Roman" w:cs="Times New Roman"/>
                <w:b/>
              </w:rPr>
              <w:t>Continuation</w:t>
            </w:r>
          </w:p>
        </w:tc>
      </w:tr>
      <w:tr w:rsidR="003D6854" w:rsidRPr="00F74B98">
        <w:tc>
          <w:tcPr>
            <w:tcW w:w="3978" w:type="dxa"/>
          </w:tcPr>
          <w:p w:rsidR="003D6854" w:rsidRPr="00F74B98" w:rsidRDefault="003D6854" w:rsidP="00234D48">
            <w:pPr>
              <w:jc w:val="right"/>
              <w:rPr>
                <w:rFonts w:ascii="Times New Roman" w:eastAsia="Calibri" w:hAnsi="Times New Roman" w:cs="Times New Roman"/>
              </w:rPr>
            </w:pPr>
            <w:r w:rsidRPr="00F74B98">
              <w:rPr>
                <w:rFonts w:ascii="Times New Roman" w:eastAsia="Calibri" w:hAnsi="Times New Roman" w:cs="Times New Roman"/>
              </w:rPr>
              <w:t xml:space="preserve">Current number of Classified Staff: </w:t>
            </w:r>
          </w:p>
        </w:tc>
        <w:tc>
          <w:tcPr>
            <w:tcW w:w="1399" w:type="dxa"/>
          </w:tcPr>
          <w:p w:rsidR="003D6854" w:rsidRPr="00F74B98" w:rsidRDefault="003D6854" w:rsidP="003D6854">
            <w:pPr>
              <w:jc w:val="right"/>
              <w:rPr>
                <w:rFonts w:ascii="Times New Roman" w:hAnsi="Times New Roman" w:cs="Times New Roman"/>
              </w:rPr>
            </w:pPr>
            <w:r w:rsidRPr="00F74B98">
              <w:rPr>
                <w:rFonts w:ascii="Times New Roman" w:hAnsi="Times New Roman" w:cs="Times New Roman"/>
              </w:rPr>
              <w:t>FT</w:t>
            </w:r>
          </w:p>
        </w:tc>
        <w:tc>
          <w:tcPr>
            <w:tcW w:w="1400" w:type="dxa"/>
          </w:tcPr>
          <w:p w:rsidR="003D6854" w:rsidRPr="00F74B98" w:rsidRDefault="00A129EE" w:rsidP="003D6854">
            <w:pPr>
              <w:jc w:val="right"/>
              <w:rPr>
                <w:rFonts w:ascii="Times New Roman" w:hAnsi="Times New Roman" w:cs="Times New Roman"/>
              </w:rPr>
            </w:pPr>
            <w:r>
              <w:rPr>
                <w:rFonts w:ascii="Times New Roman" w:hAnsi="Times New Roman" w:cs="Times New Roman"/>
              </w:rPr>
              <w:t>1</w:t>
            </w:r>
          </w:p>
        </w:tc>
        <w:tc>
          <w:tcPr>
            <w:tcW w:w="1399" w:type="dxa"/>
          </w:tcPr>
          <w:p w:rsidR="003D6854" w:rsidRPr="00F74B98" w:rsidRDefault="003D6854" w:rsidP="003D6854">
            <w:pPr>
              <w:jc w:val="right"/>
              <w:rPr>
                <w:rFonts w:ascii="Times New Roman" w:hAnsi="Times New Roman" w:cs="Times New Roman"/>
              </w:rPr>
            </w:pPr>
            <w:r w:rsidRPr="00F74B98">
              <w:rPr>
                <w:rFonts w:ascii="Times New Roman" w:hAnsi="Times New Roman" w:cs="Times New Roman"/>
              </w:rPr>
              <w:t>PT</w:t>
            </w:r>
          </w:p>
        </w:tc>
        <w:tc>
          <w:tcPr>
            <w:tcW w:w="1400" w:type="dxa"/>
          </w:tcPr>
          <w:p w:rsidR="003D6854" w:rsidRPr="00F74B98" w:rsidRDefault="00A129EE" w:rsidP="003D6854">
            <w:pPr>
              <w:jc w:val="right"/>
              <w:rPr>
                <w:rFonts w:ascii="Times New Roman" w:hAnsi="Times New Roman" w:cs="Times New Roman"/>
                <w:b/>
              </w:rPr>
            </w:pPr>
            <w:r>
              <w:rPr>
                <w:rFonts w:ascii="Times New Roman" w:hAnsi="Times New Roman" w:cs="Times New Roman"/>
                <w:b/>
              </w:rPr>
              <w:t>1</w:t>
            </w:r>
          </w:p>
        </w:tc>
      </w:tr>
      <w:tr w:rsidR="003D6854" w:rsidRPr="00F74B98">
        <w:tc>
          <w:tcPr>
            <w:tcW w:w="3978" w:type="dxa"/>
          </w:tcPr>
          <w:p w:rsidR="003D6854" w:rsidRPr="00F74B98" w:rsidRDefault="003D6854" w:rsidP="00234D48">
            <w:pPr>
              <w:jc w:val="right"/>
              <w:rPr>
                <w:rFonts w:ascii="Times New Roman" w:eastAsia="Calibri" w:hAnsi="Times New Roman" w:cs="Times New Roman"/>
              </w:rPr>
            </w:pPr>
            <w:r w:rsidRPr="00F74B98">
              <w:rPr>
                <w:rFonts w:ascii="Times New Roman" w:eastAsia="Calibri" w:hAnsi="Times New Roman" w:cs="Times New Roman"/>
              </w:rPr>
              <w:t>Position Requested</w:t>
            </w:r>
          </w:p>
        </w:tc>
        <w:tc>
          <w:tcPr>
            <w:tcW w:w="5598" w:type="dxa"/>
            <w:gridSpan w:val="4"/>
          </w:tcPr>
          <w:p w:rsidR="003D6854" w:rsidRPr="00F74B98" w:rsidRDefault="00A129EE" w:rsidP="00FC3FCC">
            <w:pPr>
              <w:rPr>
                <w:rFonts w:ascii="Times New Roman" w:hAnsi="Times New Roman" w:cs="Times New Roman"/>
                <w:b/>
              </w:rPr>
            </w:pPr>
            <w:r>
              <w:rPr>
                <w:rFonts w:ascii="Times New Roman" w:hAnsi="Times New Roman" w:cs="Times New Roman"/>
                <w:b/>
              </w:rPr>
              <w:t>Convert ½ time evening lab tech to full time</w:t>
            </w:r>
          </w:p>
        </w:tc>
      </w:tr>
    </w:tbl>
    <w:p w:rsidR="00FC3FCC" w:rsidRPr="00F74B98" w:rsidRDefault="00FC3FCC">
      <w:pPr>
        <w:rPr>
          <w:rFonts w:ascii="Times New Roman" w:hAnsi="Times New Roman" w:cs="Times New Roman"/>
        </w:rPr>
      </w:pPr>
    </w:p>
    <w:p w:rsidR="00A41463" w:rsidRPr="00F74B98" w:rsidRDefault="00F61A3C" w:rsidP="00A41463">
      <w:pPr>
        <w:pStyle w:val="ListParagraph"/>
        <w:numPr>
          <w:ilvl w:val="0"/>
          <w:numId w:val="1"/>
        </w:numPr>
        <w:rPr>
          <w:rFonts w:ascii="Times New Roman" w:hAnsi="Times New Roman" w:cs="Times New Roman"/>
        </w:rPr>
      </w:pPr>
      <w:r w:rsidRPr="00F74B98">
        <w:rPr>
          <w:rFonts w:ascii="Times New Roman" w:hAnsi="Times New Roman" w:cs="Times New Roman"/>
        </w:rPr>
        <w:t>Provide a rationale for your request.</w:t>
      </w:r>
    </w:p>
    <w:tbl>
      <w:tblPr>
        <w:tblStyle w:val="TableGrid"/>
        <w:tblW w:w="0" w:type="auto"/>
        <w:tblLook w:val="04A0"/>
      </w:tblPr>
      <w:tblGrid>
        <w:gridCol w:w="9576"/>
      </w:tblGrid>
      <w:tr w:rsidR="00A41463" w:rsidRPr="00F74B98">
        <w:tc>
          <w:tcPr>
            <w:tcW w:w="9576" w:type="dxa"/>
          </w:tcPr>
          <w:p w:rsidR="00626755" w:rsidRPr="00626755" w:rsidRDefault="006743A9" w:rsidP="00A41463">
            <w:pPr>
              <w:rPr>
                <w:rFonts w:ascii="Times New Roman" w:hAnsi="Times New Roman"/>
              </w:rPr>
            </w:pPr>
            <w:r>
              <w:rPr>
                <w:rFonts w:ascii="Times New Roman" w:hAnsi="Times New Roman"/>
              </w:rPr>
              <w:t xml:space="preserve">     </w:t>
            </w:r>
            <w:r w:rsidR="00A129EE" w:rsidRPr="00626755">
              <w:rPr>
                <w:rFonts w:ascii="Times New Roman" w:hAnsi="Times New Roman"/>
              </w:rPr>
              <w:t xml:space="preserve">We are asking that the current ½ time evening chemistry laboratory technician position become a full-time laboratory technician for the department to cover afternoons, peak time for lab offerings, and evenings.   Our evening sections have grown such that we offer more than one third of our laboratories in the evening.  </w:t>
            </w:r>
          </w:p>
          <w:p w:rsidR="00626755" w:rsidRPr="00626755" w:rsidRDefault="006743A9" w:rsidP="00A41463">
            <w:pPr>
              <w:rPr>
                <w:rFonts w:ascii="Times New Roman" w:hAnsi="Times New Roman"/>
              </w:rPr>
            </w:pPr>
            <w:r>
              <w:rPr>
                <w:rFonts w:ascii="Times New Roman" w:hAnsi="Times New Roman" w:cs="Times New Roman"/>
              </w:rPr>
              <w:t xml:space="preserve">     </w:t>
            </w:r>
            <w:r w:rsidR="00626755" w:rsidRPr="00626755">
              <w:rPr>
                <w:rFonts w:ascii="Times New Roman" w:hAnsi="Times New Roman" w:cs="Times New Roman"/>
              </w:rPr>
              <w:t xml:space="preserve">Since the creation of the EMP one-sheet, our full-time faculty load has stabilized around 11 and our efficiency has increased to approximately 500 (spring and fall 2010). </w:t>
            </w:r>
            <w:r w:rsidR="00982780" w:rsidRPr="00626755">
              <w:rPr>
                <w:rFonts w:ascii="Times New Roman" w:hAnsi="Times New Roman" w:cs="Times New Roman"/>
              </w:rPr>
              <w:t>We currently offer 42 labs per week, but with the increase in efficiency, every lab has more students.  This increases the preparation time required to present the laboratories for the lab tech</w:t>
            </w:r>
            <w:r w:rsidR="00982780">
              <w:rPr>
                <w:rFonts w:ascii="Times New Roman" w:hAnsi="Times New Roman" w:cs="Times New Roman"/>
              </w:rPr>
              <w:t>nician</w:t>
            </w:r>
            <w:r w:rsidR="00982780" w:rsidRPr="00626755">
              <w:rPr>
                <w:rFonts w:ascii="Times New Roman" w:hAnsi="Times New Roman" w:cs="Times New Roman"/>
              </w:rPr>
              <w:t>.</w:t>
            </w:r>
            <w:r w:rsidR="00982780">
              <w:rPr>
                <w:rFonts w:ascii="Times New Roman" w:hAnsi="Times New Roman" w:cs="Times New Roman"/>
              </w:rPr>
              <w:t xml:space="preserve"> </w:t>
            </w:r>
            <w:r w:rsidR="00626755" w:rsidRPr="00626755">
              <w:rPr>
                <w:rFonts w:ascii="Times New Roman" w:hAnsi="Times New Roman" w:cs="Times New Roman"/>
              </w:rPr>
              <w:t>The request to reduce FTES generation led the department to determine that cutting back on lecture-only, GE applicable physical science courses and concentrating our efforts on the six</w:t>
            </w:r>
            <w:r w:rsidR="000E2333">
              <w:rPr>
                <w:rFonts w:ascii="Times New Roman" w:hAnsi="Times New Roman" w:cs="Times New Roman"/>
              </w:rPr>
              <w:t xml:space="preserve"> course</w:t>
            </w:r>
            <w:r w:rsidR="00626755" w:rsidRPr="00626755">
              <w:rPr>
                <w:rFonts w:ascii="Times New Roman" w:hAnsi="Times New Roman" w:cs="Times New Roman"/>
              </w:rPr>
              <w:t>, laboratory science sequence from Chem101 to Chem213 was the most appropriate offerings. Furthermore, our demand for the organic chemistry classes (Chem104, Chem212, and Chem213) has grown.  The organic laboratories are more time consuming and difficult to prepare.</w:t>
            </w:r>
          </w:p>
          <w:p w:rsidR="00A41463" w:rsidRPr="00F74B98" w:rsidRDefault="00A41463" w:rsidP="00A41463">
            <w:pPr>
              <w:rPr>
                <w:rFonts w:ascii="Times New Roman" w:hAnsi="Times New Roman" w:cs="Times New Roman"/>
              </w:rPr>
            </w:pPr>
          </w:p>
        </w:tc>
      </w:tr>
    </w:tbl>
    <w:p w:rsidR="00A41463" w:rsidRPr="00F74B98" w:rsidRDefault="00A41463" w:rsidP="00A41463">
      <w:pPr>
        <w:rPr>
          <w:rFonts w:ascii="Times New Roman" w:hAnsi="Times New Roman" w:cs="Times New Roman"/>
        </w:rPr>
      </w:pPr>
    </w:p>
    <w:p w:rsidR="00354A77" w:rsidRPr="00F74B98" w:rsidRDefault="00354A77" w:rsidP="00A41463">
      <w:pPr>
        <w:rPr>
          <w:rFonts w:ascii="Times New Roman" w:hAnsi="Times New Roman" w:cs="Times New Roman"/>
        </w:rPr>
      </w:pPr>
    </w:p>
    <w:p w:rsidR="00A13E11" w:rsidRPr="00F74B98" w:rsidRDefault="00CB5B73" w:rsidP="00A13E11">
      <w:pPr>
        <w:pStyle w:val="ListParagraph"/>
        <w:numPr>
          <w:ilvl w:val="0"/>
          <w:numId w:val="1"/>
        </w:numPr>
        <w:rPr>
          <w:rFonts w:ascii="Times New Roman" w:hAnsi="Times New Roman" w:cs="Times New Roman"/>
          <w:i/>
        </w:rPr>
      </w:pPr>
      <w:r w:rsidRPr="00F74B98">
        <w:rPr>
          <w:rFonts w:ascii="Times New Roman" w:hAnsi="Times New Roman" w:cs="Times New Roman"/>
        </w:rPr>
        <w:t>Indicate how the content of the EMP One-Sheet and latest Program Efficacy Report support this request</w:t>
      </w:r>
      <w:r w:rsidR="00A13E11" w:rsidRPr="00F74B98">
        <w:rPr>
          <w:rFonts w:ascii="Times New Roman" w:hAnsi="Times New Roman" w:cs="Times New Roman"/>
        </w:rPr>
        <w:t>.</w:t>
      </w:r>
      <w:r w:rsidRPr="00F74B98">
        <w:rPr>
          <w:rFonts w:ascii="Times New Roman" w:hAnsi="Times New Roman" w:cs="Times New Roman"/>
        </w:rPr>
        <w:t xml:space="preserve"> </w:t>
      </w:r>
      <w:r w:rsidR="00A13E11" w:rsidRPr="00F74B98">
        <w:rPr>
          <w:rFonts w:ascii="Times New Roman" w:hAnsi="Times New Roman" w:cs="Times New Roman"/>
        </w:rPr>
        <w:t xml:space="preserve">How is the request tied to program planning? </w:t>
      </w:r>
      <w:r w:rsidR="00F61A3C" w:rsidRPr="00F74B98">
        <w:rPr>
          <w:rFonts w:ascii="Times New Roman" w:hAnsi="Times New Roman" w:cs="Times New Roman"/>
        </w:rPr>
        <w:t>(</w:t>
      </w:r>
      <w:r w:rsidR="001A0E3C" w:rsidRPr="00F74B98">
        <w:rPr>
          <w:rFonts w:ascii="Times New Roman" w:hAnsi="Times New Roman" w:cs="Times New Roman"/>
          <w:i/>
        </w:rPr>
        <w:t>R</w:t>
      </w:r>
      <w:r w:rsidR="00A13E11" w:rsidRPr="00F74B98">
        <w:rPr>
          <w:rFonts w:ascii="Times New Roman" w:hAnsi="Times New Roman" w:cs="Times New Roman"/>
          <w:i/>
        </w:rPr>
        <w:t>eference the page number(s) where the information can be found on the EMP and Program Efficacy).</w:t>
      </w:r>
    </w:p>
    <w:p w:rsidR="00CB5B73" w:rsidRPr="00F74B98" w:rsidRDefault="00CB5B73" w:rsidP="003A2ABA">
      <w:pPr>
        <w:pStyle w:val="ListParagraph"/>
        <w:rPr>
          <w:rFonts w:ascii="Times New Roman" w:hAnsi="Times New Roman" w:cs="Times New Roman"/>
          <w:i/>
        </w:rPr>
      </w:pPr>
    </w:p>
    <w:tbl>
      <w:tblPr>
        <w:tblStyle w:val="TableGrid"/>
        <w:tblW w:w="0" w:type="auto"/>
        <w:tblLook w:val="04A0"/>
      </w:tblPr>
      <w:tblGrid>
        <w:gridCol w:w="9576"/>
      </w:tblGrid>
      <w:tr w:rsidR="00CB5B73" w:rsidRPr="00F74B9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AAE" w:rsidRDefault="006743A9" w:rsidP="000E2333">
            <w:pPr>
              <w:rPr>
                <w:rFonts w:ascii="Times New Roman" w:hAnsi="Times New Roman" w:cs="Times New Roman"/>
              </w:rPr>
            </w:pPr>
            <w:r>
              <w:rPr>
                <w:rFonts w:ascii="Times New Roman" w:hAnsi="Times New Roman" w:cs="Times New Roman"/>
              </w:rPr>
              <w:t xml:space="preserve">    </w:t>
            </w:r>
            <w:r w:rsidR="001C7B52">
              <w:rPr>
                <w:rFonts w:ascii="Times New Roman" w:hAnsi="Times New Roman" w:cs="Times New Roman"/>
              </w:rPr>
              <w:t xml:space="preserve">The goal of the Chemistry department is to be the institution of choice for science students in the region.  We measure this by expansion and enrollment in our major’s preparation courses.  Starting seven years ago, we actively decided to strategically grow our courses and offerings, as well as the ancillary academic support services, required to accomplish this goal.  This is evident throughout the last efficacy report.  We have accomplished this goal and currently offer classes to more students than any of our nearby, community college competitors. </w:t>
            </w:r>
            <w:r w:rsidR="000E2333">
              <w:rPr>
                <w:rFonts w:ascii="Times New Roman" w:hAnsi="Times New Roman" w:cs="Times New Roman"/>
              </w:rPr>
              <w:t xml:space="preserve"> The only program larger than ours is Mt. SAC in the region.  </w:t>
            </w:r>
          </w:p>
          <w:p w:rsidR="00BF0AF3" w:rsidRDefault="006743A9" w:rsidP="000E2333">
            <w:pPr>
              <w:rPr>
                <w:rFonts w:ascii="Times New Roman" w:hAnsi="Times New Roman" w:cs="Times New Roman"/>
              </w:rPr>
            </w:pPr>
            <w:r>
              <w:rPr>
                <w:rFonts w:ascii="Times New Roman" w:hAnsi="Times New Roman" w:cs="Times New Roman"/>
              </w:rPr>
              <w:t xml:space="preserve">     </w:t>
            </w:r>
            <w:r w:rsidR="00350AAE">
              <w:rPr>
                <w:rFonts w:ascii="Times New Roman" w:hAnsi="Times New Roman" w:cs="Times New Roman"/>
              </w:rPr>
              <w:t xml:space="preserve">The data in the efficacy document and the EMP one-sheet both illustrate the growth the department has experienced.  Pages 16 and 18 of the efficacy document indicate faculty load and enrollment trends.  </w:t>
            </w:r>
          </w:p>
          <w:p w:rsidR="000E2333" w:rsidRDefault="00BF0AF3" w:rsidP="000E2333">
            <w:pPr>
              <w:rPr>
                <w:rFonts w:ascii="Times New Roman" w:hAnsi="Times New Roman" w:cs="Times New Roman"/>
              </w:rPr>
            </w:pPr>
            <w:r>
              <w:rPr>
                <w:rFonts w:ascii="Times New Roman" w:hAnsi="Times New Roman" w:cs="Times New Roman"/>
              </w:rPr>
              <w:t xml:space="preserve">    As evidenced in the EMP on page 18, the Chemistry program has become one of the top 10 degrees attained at SBVC.  On page 29 of the EMP, the growth of the program in terms of FTES production is available growing from 190 to 270 for the years shown (04-05 to 08-09).  </w:t>
            </w:r>
          </w:p>
          <w:p w:rsidR="00CB5B73" w:rsidRPr="00F74B98" w:rsidRDefault="006743A9" w:rsidP="000E2333">
            <w:pPr>
              <w:rPr>
                <w:rFonts w:ascii="Times New Roman" w:hAnsi="Times New Roman" w:cs="Times New Roman"/>
              </w:rPr>
            </w:pPr>
            <w:r>
              <w:rPr>
                <w:rFonts w:ascii="Times New Roman" w:hAnsi="Times New Roman" w:cs="Times New Roman"/>
              </w:rPr>
              <w:t xml:space="preserve">    </w:t>
            </w:r>
            <w:r w:rsidR="000E2333">
              <w:rPr>
                <w:rFonts w:ascii="Times New Roman" w:hAnsi="Times New Roman" w:cs="Times New Roman"/>
              </w:rPr>
              <w:t xml:space="preserve">During the present economic climate, we have changed our focus from growth to program maintenance and efficiency.  </w:t>
            </w:r>
            <w:r w:rsidR="00350AAE">
              <w:rPr>
                <w:rFonts w:ascii="Times New Roman" w:hAnsi="Times New Roman" w:cs="Times New Roman"/>
              </w:rPr>
              <w:t xml:space="preserve">To maintain instructional quality at this level of operation, appropriate support staff and adherence to safety protocol is important.  </w:t>
            </w:r>
          </w:p>
        </w:tc>
      </w:tr>
    </w:tbl>
    <w:p w:rsidR="00CB5B73" w:rsidRPr="00F74B98" w:rsidRDefault="00CB5B73" w:rsidP="00CB5B73">
      <w:pPr>
        <w:pStyle w:val="ListParagraph"/>
        <w:rPr>
          <w:rFonts w:ascii="Times New Roman" w:hAnsi="Times New Roman" w:cs="Times New Roman"/>
        </w:rPr>
      </w:pPr>
    </w:p>
    <w:p w:rsidR="00D93AA7" w:rsidRPr="00717E32" w:rsidRDefault="00CB5B73" w:rsidP="00717E32">
      <w:pPr>
        <w:pStyle w:val="ListParagraph"/>
        <w:numPr>
          <w:ilvl w:val="0"/>
          <w:numId w:val="1"/>
        </w:numPr>
        <w:rPr>
          <w:rFonts w:ascii="Times New Roman" w:hAnsi="Times New Roman" w:cs="Times New Roman"/>
        </w:rPr>
      </w:pPr>
      <w:r w:rsidRPr="00717E32">
        <w:rPr>
          <w:rFonts w:ascii="Times New Roman" w:hAnsi="Times New Roman" w:cs="Times New Roman"/>
        </w:rPr>
        <w:t xml:space="preserve">Indicate if there is additional information you wish the committee to consider </w:t>
      </w:r>
      <w:r w:rsidR="00D93AA7" w:rsidRPr="00717E32">
        <w:rPr>
          <w:rFonts w:ascii="Times New Roman" w:hAnsi="Times New Roman" w:cs="Times New Roman"/>
          <w:i/>
        </w:rPr>
        <w:t>(for example: regulatory information, compliance, updated efficiency and/or student success data or planning etc).</w:t>
      </w:r>
    </w:p>
    <w:p w:rsidR="00CB5B73" w:rsidRPr="00717E32" w:rsidRDefault="00CB5B73" w:rsidP="00717E32">
      <w:pPr>
        <w:rPr>
          <w:rFonts w:ascii="Times New Roman" w:hAnsi="Times New Roman" w:cs="Times New Roman"/>
        </w:rPr>
      </w:pPr>
    </w:p>
    <w:tbl>
      <w:tblPr>
        <w:tblStyle w:val="TableGrid"/>
        <w:tblW w:w="0" w:type="auto"/>
        <w:tblLook w:val="04A0"/>
      </w:tblPr>
      <w:tblGrid>
        <w:gridCol w:w="9576"/>
      </w:tblGrid>
      <w:tr w:rsidR="00CB5B73" w:rsidRPr="00F74B9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9EE" w:rsidRPr="00626755" w:rsidRDefault="006743A9" w:rsidP="00A129EE">
            <w:pPr>
              <w:rPr>
                <w:rFonts w:ascii="Times New Roman" w:hAnsi="Times New Roman"/>
              </w:rPr>
            </w:pPr>
            <w:r>
              <w:rPr>
                <w:rFonts w:ascii="Times New Roman" w:hAnsi="Times New Roman"/>
              </w:rPr>
              <w:t xml:space="preserve">     </w:t>
            </w:r>
            <w:r w:rsidR="00A129EE" w:rsidRPr="00626755">
              <w:rPr>
                <w:rFonts w:ascii="Times New Roman" w:hAnsi="Times New Roman"/>
              </w:rPr>
              <w:t>The District Chemical Safety Plan recommends that no one person work alone in a laboratory setting.  Currently, we have only one lab technician working by herself most of the time in the lab prep area.  An additional full time employee, overlapping during the afternoon, would allow solution preparation and hazardous chemical handling to occur with at least two persons in the prep area during the afternoons.  The preparation of laboratory consumables could then be organized such that the most hazardous substances were only prepared or used during those hours when an overlap in schedules exists.</w:t>
            </w:r>
          </w:p>
          <w:p w:rsidR="00A129EE" w:rsidRDefault="00BF0AF3" w:rsidP="00A129EE">
            <w:r>
              <w:t xml:space="preserve"> </w:t>
            </w:r>
            <w:r>
              <w:rPr>
                <w:rFonts w:ascii="Times New Roman" w:hAnsi="Times New Roman" w:cs="Times New Roman"/>
              </w:rPr>
              <w:t xml:space="preserve">For academic year 2009-2010, the efficiency of the program increased to 500 (WSCH = 486 for Fall 2009, WSCH = 523 for Spring 2010).  In addition, FTES production increased to 384 (184 for Fall 2009, 200 for Spring 2010).  ***Note FTES generation counts both Chemistry and the one course in physical science offered by the department.  </w:t>
            </w:r>
          </w:p>
          <w:p w:rsidR="00CB5B73" w:rsidRPr="00F74B98" w:rsidRDefault="00CB5B73">
            <w:pPr>
              <w:rPr>
                <w:rFonts w:ascii="Times New Roman" w:hAnsi="Times New Roman" w:cs="Times New Roman"/>
              </w:rPr>
            </w:pPr>
          </w:p>
        </w:tc>
      </w:tr>
    </w:tbl>
    <w:p w:rsidR="00CB5B73" w:rsidRPr="00F74B98" w:rsidRDefault="00CB5B73" w:rsidP="00CB5B73">
      <w:pPr>
        <w:rPr>
          <w:rFonts w:ascii="Times New Roman" w:hAnsi="Times New Roman" w:cs="Times New Roman"/>
        </w:rPr>
      </w:pPr>
    </w:p>
    <w:p w:rsidR="00CB5B73" w:rsidRPr="00F74B98" w:rsidRDefault="00CB5B73" w:rsidP="00CB5B73">
      <w:pPr>
        <w:pStyle w:val="ListParagraph"/>
        <w:rPr>
          <w:rFonts w:ascii="Times New Roman" w:hAnsi="Times New Roman" w:cs="Times New Roman"/>
        </w:rPr>
      </w:pPr>
    </w:p>
    <w:p w:rsidR="00CB5B73" w:rsidRPr="00F74B98" w:rsidRDefault="00CB5B73" w:rsidP="00CB5B73">
      <w:pPr>
        <w:pStyle w:val="ListParagraph"/>
        <w:numPr>
          <w:ilvl w:val="0"/>
          <w:numId w:val="4"/>
        </w:numPr>
        <w:rPr>
          <w:rFonts w:ascii="Times New Roman" w:hAnsi="Times New Roman" w:cs="Times New Roman"/>
        </w:rPr>
      </w:pPr>
      <w:r w:rsidRPr="00F74B98">
        <w:rPr>
          <w:rFonts w:ascii="Times New Roman" w:hAnsi="Times New Roman" w:cs="Times New Roman"/>
        </w:rPr>
        <w:t xml:space="preserve">Evaluation of related costs </w:t>
      </w:r>
      <w:r w:rsidR="003A2ABA" w:rsidRPr="00F74B98">
        <w:rPr>
          <w:rFonts w:ascii="Times New Roman" w:hAnsi="Times New Roman" w:cs="Times New Roman"/>
        </w:rPr>
        <w:t>(</w:t>
      </w:r>
      <w:r w:rsidR="003A2ABA" w:rsidRPr="00F74B98">
        <w:rPr>
          <w:rFonts w:ascii="Times New Roman" w:hAnsi="Times New Roman" w:cs="Times New Roman"/>
          <w:color w:val="000000"/>
        </w:rPr>
        <w:t>including any ongoing maintenance or updates) and identification of any alternative or ongoing funding sources. (</w:t>
      </w:r>
      <w:proofErr w:type="gramStart"/>
      <w:r w:rsidR="003A2ABA" w:rsidRPr="00F74B98">
        <w:rPr>
          <w:rFonts w:ascii="Times New Roman" w:hAnsi="Times New Roman" w:cs="Times New Roman"/>
          <w:color w:val="000000"/>
        </w:rPr>
        <w:t>for</w:t>
      </w:r>
      <w:proofErr w:type="gramEnd"/>
      <w:r w:rsidR="003A2ABA" w:rsidRPr="00F74B98">
        <w:rPr>
          <w:rFonts w:ascii="Times New Roman" w:hAnsi="Times New Roman" w:cs="Times New Roman"/>
          <w:color w:val="000000"/>
        </w:rPr>
        <w:t xml:space="preserve"> example Department Budget, VTEA or Perkins)</w:t>
      </w:r>
    </w:p>
    <w:p w:rsidR="00CB5B73" w:rsidRPr="00F74B98" w:rsidRDefault="00CB5B73" w:rsidP="00CB5B73">
      <w:pPr>
        <w:pStyle w:val="ListParagraph"/>
        <w:rPr>
          <w:rFonts w:ascii="Times New Roman" w:hAnsi="Times New Roman" w:cs="Times New Roman"/>
        </w:rPr>
      </w:pPr>
    </w:p>
    <w:tbl>
      <w:tblPr>
        <w:tblStyle w:val="TableGrid"/>
        <w:tblW w:w="0" w:type="auto"/>
        <w:tblLook w:val="04A0"/>
      </w:tblPr>
      <w:tblGrid>
        <w:gridCol w:w="9576"/>
      </w:tblGrid>
      <w:tr w:rsidR="00CB5B73" w:rsidRPr="00F74B9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B73" w:rsidRPr="00F74B98" w:rsidRDefault="006743A9">
            <w:pPr>
              <w:rPr>
                <w:rFonts w:ascii="Times New Roman" w:hAnsi="Times New Roman" w:cs="Times New Roman"/>
              </w:rPr>
            </w:pPr>
            <w:r>
              <w:rPr>
                <w:rFonts w:ascii="Times New Roman" w:hAnsi="Times New Roman" w:cs="Times New Roman"/>
              </w:rPr>
              <w:t xml:space="preserve">    </w:t>
            </w:r>
            <w:r w:rsidR="00350AAE">
              <w:rPr>
                <w:rFonts w:ascii="Times New Roman" w:hAnsi="Times New Roman" w:cs="Times New Roman"/>
              </w:rPr>
              <w:t xml:space="preserve">The costs include the additional 21 hours of work and the retirement/health benefits necessary to convert the current 19-hour position to a full-time position.  It is not appropriate to fund this kind of position from one-time monies or grants.  </w:t>
            </w:r>
          </w:p>
        </w:tc>
      </w:tr>
    </w:tbl>
    <w:p w:rsidR="00CB5B73" w:rsidRPr="00F74B98" w:rsidRDefault="00CB5B73" w:rsidP="00CB5B73">
      <w:pPr>
        <w:rPr>
          <w:rFonts w:ascii="Times New Roman" w:hAnsi="Times New Roman" w:cs="Times New Roman"/>
        </w:rPr>
      </w:pPr>
    </w:p>
    <w:p w:rsidR="00CB5B73" w:rsidRPr="00F74B98" w:rsidRDefault="00CB5B73" w:rsidP="00CB5B73">
      <w:pPr>
        <w:pStyle w:val="ListParagraph"/>
        <w:numPr>
          <w:ilvl w:val="0"/>
          <w:numId w:val="4"/>
        </w:numPr>
        <w:rPr>
          <w:rFonts w:ascii="Times New Roman" w:hAnsi="Times New Roman" w:cs="Times New Roman"/>
        </w:rPr>
      </w:pPr>
      <w:r w:rsidRPr="00F74B98">
        <w:rPr>
          <w:rFonts w:ascii="Times New Roman" w:hAnsi="Times New Roman" w:cs="Times New Roman"/>
        </w:rPr>
        <w:t>What are the consequences of not filling this position?</w:t>
      </w:r>
      <w:r w:rsidRPr="00F74B98">
        <w:rPr>
          <w:rFonts w:ascii="Times New Roman" w:hAnsi="Times New Roman" w:cs="Times New Roman"/>
        </w:rPr>
        <w:br/>
      </w:r>
    </w:p>
    <w:tbl>
      <w:tblPr>
        <w:tblStyle w:val="TableGrid"/>
        <w:tblW w:w="0" w:type="auto"/>
        <w:tblLook w:val="04A0"/>
      </w:tblPr>
      <w:tblGrid>
        <w:gridCol w:w="9576"/>
      </w:tblGrid>
      <w:tr w:rsidR="00CB5B73" w:rsidRPr="00F74B9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B73" w:rsidRPr="00F74B98" w:rsidRDefault="006743A9">
            <w:pPr>
              <w:rPr>
                <w:rFonts w:ascii="Times New Roman" w:hAnsi="Times New Roman" w:cs="Times New Roman"/>
              </w:rPr>
            </w:pPr>
            <w:r>
              <w:rPr>
                <w:rFonts w:ascii="Times New Roman" w:hAnsi="Times New Roman" w:cs="Times New Roman"/>
              </w:rPr>
              <w:t xml:space="preserve">      </w:t>
            </w:r>
            <w:r w:rsidR="00350AAE">
              <w:rPr>
                <w:rFonts w:ascii="Times New Roman" w:hAnsi="Times New Roman" w:cs="Times New Roman"/>
              </w:rPr>
              <w:t xml:space="preserve">The consequences of not filling this position are that we will continue to operate without adhering to appropriate protocol </w:t>
            </w:r>
            <w:r w:rsidR="00E27B59">
              <w:rPr>
                <w:rFonts w:ascii="Times New Roman" w:hAnsi="Times New Roman" w:cs="Times New Roman"/>
              </w:rPr>
              <w:t xml:space="preserve">determined by the District Chemical Safety Plan.  We will continue to have a </w:t>
            </w:r>
            <w:proofErr w:type="gramStart"/>
            <w:r w:rsidR="00E27B59">
              <w:rPr>
                <w:rFonts w:ascii="Times New Roman" w:hAnsi="Times New Roman" w:cs="Times New Roman"/>
              </w:rPr>
              <w:t>turn-over</w:t>
            </w:r>
            <w:proofErr w:type="gramEnd"/>
            <w:r w:rsidR="00E27B59">
              <w:rPr>
                <w:rFonts w:ascii="Times New Roman" w:hAnsi="Times New Roman" w:cs="Times New Roman"/>
              </w:rPr>
              <w:t xml:space="preserve"> in staff for evening laboratories creating instability in the coverage of the lab preparation.  </w:t>
            </w:r>
          </w:p>
        </w:tc>
      </w:tr>
    </w:tbl>
    <w:p w:rsidR="00CB5B73" w:rsidRPr="00F74B98" w:rsidRDefault="00CB5B73" w:rsidP="00CB5B73">
      <w:pPr>
        <w:rPr>
          <w:rFonts w:ascii="Times New Roman" w:hAnsi="Times New Roman" w:cs="Times New Roman"/>
        </w:rPr>
      </w:pPr>
    </w:p>
    <w:p w:rsidR="00354A77" w:rsidRPr="00F74B98" w:rsidRDefault="00354A77" w:rsidP="0059174E">
      <w:pPr>
        <w:rPr>
          <w:rFonts w:ascii="Times New Roman" w:hAnsi="Times New Roman" w:cs="Times New Roman"/>
        </w:rPr>
      </w:pPr>
    </w:p>
    <w:p w:rsidR="00354A77" w:rsidRPr="00F74B98" w:rsidRDefault="00354A77" w:rsidP="0059174E">
      <w:pPr>
        <w:rPr>
          <w:rFonts w:ascii="Times New Roman" w:hAnsi="Times New Roman" w:cs="Times New Roman"/>
        </w:rPr>
      </w:pPr>
    </w:p>
    <w:p w:rsidR="00354A77" w:rsidRPr="00F74B98" w:rsidRDefault="00354A77" w:rsidP="0059174E">
      <w:pPr>
        <w:rPr>
          <w:rFonts w:ascii="Times New Roman" w:hAnsi="Times New Roman" w:cs="Times New Roman"/>
        </w:rPr>
      </w:pPr>
    </w:p>
    <w:sectPr w:rsidR="00354A77" w:rsidRPr="00F74B98" w:rsidSect="001871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AAE" w:rsidRDefault="00350AAE" w:rsidP="003A3982">
      <w:r>
        <w:separator/>
      </w:r>
    </w:p>
  </w:endnote>
  <w:endnote w:type="continuationSeparator" w:id="0">
    <w:p w:rsidR="00350AAE" w:rsidRDefault="00350AAE" w:rsidP="003A398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AE" w:rsidRDefault="00350AA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AE" w:rsidRDefault="00350AAE" w:rsidP="000F0588">
    <w:pPr>
      <w:pStyle w:val="Footer"/>
      <w:jc w:val="center"/>
    </w:pPr>
    <w:r>
      <w:t>Needs Assessment Applications due to Committee by 10/15/10</w:t>
    </w:r>
  </w:p>
  <w:p w:rsidR="00350AAE" w:rsidRDefault="00350AAE">
    <w:pPr>
      <w:pStyle w:val="Footer"/>
    </w:pPr>
  </w:p>
  <w:p w:rsidR="00350AAE" w:rsidRDefault="00350AAE">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AE" w:rsidRDefault="00350AA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AAE" w:rsidRDefault="00350AAE" w:rsidP="003A3982">
      <w:r>
        <w:separator/>
      </w:r>
    </w:p>
  </w:footnote>
  <w:footnote w:type="continuationSeparator" w:id="0">
    <w:p w:rsidR="00350AAE" w:rsidRDefault="00350AAE" w:rsidP="003A398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AE" w:rsidRDefault="00350AA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AE" w:rsidRDefault="00350AAE">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AE" w:rsidRDefault="00350AA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29A1"/>
    <w:multiLevelType w:val="hybridMultilevel"/>
    <w:tmpl w:val="9EF4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65B28"/>
    <w:multiLevelType w:val="hybridMultilevel"/>
    <w:tmpl w:val="D1B0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F46235"/>
    <w:multiLevelType w:val="hybridMultilevel"/>
    <w:tmpl w:val="33E06188"/>
    <w:lvl w:ilvl="0" w:tplc="19923DEA">
      <w:start w:val="1"/>
      <w:numFmt w:val="decimal"/>
      <w:lvlText w:val="%1."/>
      <w:lvlJc w:val="left"/>
      <w:pPr>
        <w:ind w:left="360" w:hanging="360"/>
      </w:pPr>
      <w:rPr>
        <w:rFonts w:hint="default"/>
        <w:i w:val="0"/>
        <w:sz w:val="22"/>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2"/>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FB6AA5"/>
    <w:rsid w:val="00052D00"/>
    <w:rsid w:val="000A392A"/>
    <w:rsid w:val="000E2333"/>
    <w:rsid w:val="000F0588"/>
    <w:rsid w:val="001052A7"/>
    <w:rsid w:val="00107505"/>
    <w:rsid w:val="00152F63"/>
    <w:rsid w:val="001871CE"/>
    <w:rsid w:val="001A0E3C"/>
    <w:rsid w:val="001C7B52"/>
    <w:rsid w:val="0020018D"/>
    <w:rsid w:val="00225A40"/>
    <w:rsid w:val="00231327"/>
    <w:rsid w:val="00234D48"/>
    <w:rsid w:val="00255450"/>
    <w:rsid w:val="002C0EFE"/>
    <w:rsid w:val="00350AAE"/>
    <w:rsid w:val="00354A77"/>
    <w:rsid w:val="003A2ABA"/>
    <w:rsid w:val="003A3982"/>
    <w:rsid w:val="003D6854"/>
    <w:rsid w:val="0045091E"/>
    <w:rsid w:val="004A640B"/>
    <w:rsid w:val="004A65E1"/>
    <w:rsid w:val="004E61C1"/>
    <w:rsid w:val="0058204E"/>
    <w:rsid w:val="0059174E"/>
    <w:rsid w:val="006043C9"/>
    <w:rsid w:val="0062203D"/>
    <w:rsid w:val="00626755"/>
    <w:rsid w:val="00642C62"/>
    <w:rsid w:val="006743A9"/>
    <w:rsid w:val="006758EA"/>
    <w:rsid w:val="006B1276"/>
    <w:rsid w:val="00707B42"/>
    <w:rsid w:val="00717E32"/>
    <w:rsid w:val="007331AE"/>
    <w:rsid w:val="00745941"/>
    <w:rsid w:val="00777318"/>
    <w:rsid w:val="007E6407"/>
    <w:rsid w:val="007E7D2A"/>
    <w:rsid w:val="00803655"/>
    <w:rsid w:val="00825C8D"/>
    <w:rsid w:val="00860977"/>
    <w:rsid w:val="008A1340"/>
    <w:rsid w:val="009265FC"/>
    <w:rsid w:val="00982780"/>
    <w:rsid w:val="009E57D4"/>
    <w:rsid w:val="00A118B0"/>
    <w:rsid w:val="00A129EE"/>
    <w:rsid w:val="00A13E11"/>
    <w:rsid w:val="00A41463"/>
    <w:rsid w:val="00A86D67"/>
    <w:rsid w:val="00B13B15"/>
    <w:rsid w:val="00B21741"/>
    <w:rsid w:val="00BB3870"/>
    <w:rsid w:val="00BF0AF3"/>
    <w:rsid w:val="00CB5B73"/>
    <w:rsid w:val="00CE5885"/>
    <w:rsid w:val="00D15F96"/>
    <w:rsid w:val="00D93AA7"/>
    <w:rsid w:val="00DA1567"/>
    <w:rsid w:val="00E026CC"/>
    <w:rsid w:val="00E27B59"/>
    <w:rsid w:val="00E55F24"/>
    <w:rsid w:val="00E76330"/>
    <w:rsid w:val="00EC7209"/>
    <w:rsid w:val="00EE5D21"/>
    <w:rsid w:val="00F61A3C"/>
    <w:rsid w:val="00F74B98"/>
    <w:rsid w:val="00FB6AA5"/>
    <w:rsid w:val="00FC3FCC"/>
    <w:rsid w:val="00FE245B"/>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C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41463"/>
    <w:pPr>
      <w:ind w:left="720"/>
      <w:contextualSpacing/>
    </w:pPr>
  </w:style>
  <w:style w:type="table" w:styleId="TableGrid">
    <w:name w:val="Table Grid"/>
    <w:basedOn w:val="TableNormal"/>
    <w:rsid w:val="00A414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A3982"/>
    <w:pPr>
      <w:tabs>
        <w:tab w:val="center" w:pos="4680"/>
        <w:tab w:val="right" w:pos="9360"/>
      </w:tabs>
    </w:pPr>
  </w:style>
  <w:style w:type="character" w:customStyle="1" w:styleId="HeaderChar">
    <w:name w:val="Header Char"/>
    <w:basedOn w:val="DefaultParagraphFont"/>
    <w:link w:val="Header"/>
    <w:uiPriority w:val="99"/>
    <w:semiHidden/>
    <w:rsid w:val="003A3982"/>
  </w:style>
  <w:style w:type="paragraph" w:styleId="Footer">
    <w:name w:val="footer"/>
    <w:basedOn w:val="Normal"/>
    <w:link w:val="FooterChar"/>
    <w:uiPriority w:val="99"/>
    <w:unhideWhenUsed/>
    <w:rsid w:val="003A3982"/>
    <w:pPr>
      <w:tabs>
        <w:tab w:val="center" w:pos="4680"/>
        <w:tab w:val="right" w:pos="9360"/>
      </w:tabs>
    </w:pPr>
  </w:style>
  <w:style w:type="character" w:customStyle="1" w:styleId="FooterChar">
    <w:name w:val="Footer Char"/>
    <w:basedOn w:val="DefaultParagraphFont"/>
    <w:link w:val="Footer"/>
    <w:uiPriority w:val="99"/>
    <w:rsid w:val="003A3982"/>
  </w:style>
  <w:style w:type="paragraph" w:styleId="BalloonText">
    <w:name w:val="Balloon Text"/>
    <w:basedOn w:val="Normal"/>
    <w:link w:val="BalloonTextChar"/>
    <w:uiPriority w:val="99"/>
    <w:semiHidden/>
    <w:unhideWhenUsed/>
    <w:rsid w:val="003A3982"/>
    <w:rPr>
      <w:rFonts w:ascii="Tahoma" w:hAnsi="Tahoma" w:cs="Tahoma"/>
      <w:sz w:val="16"/>
      <w:szCs w:val="16"/>
    </w:rPr>
  </w:style>
  <w:style w:type="character" w:customStyle="1" w:styleId="BalloonTextChar">
    <w:name w:val="Balloon Text Char"/>
    <w:basedOn w:val="DefaultParagraphFont"/>
    <w:link w:val="BalloonText"/>
    <w:uiPriority w:val="99"/>
    <w:semiHidden/>
    <w:rsid w:val="003A3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650442">
      <w:bodyDiv w:val="1"/>
      <w:marLeft w:val="0"/>
      <w:marRight w:val="0"/>
      <w:marTop w:val="0"/>
      <w:marBottom w:val="0"/>
      <w:divBdr>
        <w:top w:val="none" w:sz="0" w:space="0" w:color="auto"/>
        <w:left w:val="none" w:sz="0" w:space="0" w:color="auto"/>
        <w:bottom w:val="none" w:sz="0" w:space="0" w:color="auto"/>
        <w:right w:val="none" w:sz="0" w:space="0" w:color="auto"/>
      </w:divBdr>
    </w:div>
    <w:div w:id="1234778630">
      <w:bodyDiv w:val="1"/>
      <w:marLeft w:val="0"/>
      <w:marRight w:val="0"/>
      <w:marTop w:val="0"/>
      <w:marBottom w:val="0"/>
      <w:divBdr>
        <w:top w:val="none" w:sz="0" w:space="0" w:color="auto"/>
        <w:left w:val="none" w:sz="0" w:space="0" w:color="auto"/>
        <w:bottom w:val="none" w:sz="0" w:space="0" w:color="auto"/>
        <w:right w:val="none" w:sz="0" w:space="0" w:color="auto"/>
      </w:divBdr>
    </w:div>
    <w:div w:id="184347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eader" Target="header1.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eader" Target="header2.xml"/><Relationship Id="rId13" Type="http://schemas.openxmlformats.org/officeDocument/2006/relationships/fontTable" Target="fontTable.xml"/><Relationship Id="rId10" Type="http://schemas.openxmlformats.org/officeDocument/2006/relationships/footer" Target="footer2.xml"/><Relationship Id="rId5"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4245</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Dr. Troy</dc:creator>
  <cp:lastModifiedBy>SBVC SBCCD</cp:lastModifiedBy>
  <cp:revision>2</cp:revision>
  <dcterms:created xsi:type="dcterms:W3CDTF">2010-10-12T17:12:00Z</dcterms:created>
  <dcterms:modified xsi:type="dcterms:W3CDTF">2010-10-12T17:12:00Z</dcterms:modified>
</cp:coreProperties>
</file>